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93D7" w14:textId="77777777" w:rsidR="00265B8A" w:rsidRPr="00265B8A" w:rsidRDefault="00265B8A" w:rsidP="00265B8A">
      <w:pPr>
        <w:shd w:val="clear" w:color="auto" w:fill="FBFBFB"/>
        <w:spacing w:after="360" w:line="360" w:lineRule="atLeast"/>
        <w:outlineLvl w:val="0"/>
        <w:rPr>
          <w:rFonts w:ascii="Arial" w:eastAsia="Times New Roman" w:hAnsi="Arial" w:cs="Arial"/>
          <w:color w:val="404756"/>
          <w:kern w:val="36"/>
          <w:sz w:val="48"/>
          <w:szCs w:val="48"/>
        </w:rPr>
      </w:pPr>
      <w:r w:rsidRPr="00265B8A">
        <w:rPr>
          <w:rFonts w:ascii="Arial" w:eastAsia="Times New Roman" w:hAnsi="Arial" w:cs="Arial"/>
          <w:color w:val="404756"/>
          <w:kern w:val="36"/>
          <w:sz w:val="48"/>
          <w:szCs w:val="48"/>
        </w:rPr>
        <w:t>General Safety Rules When Using Powered Vacuum Lifters</w:t>
      </w:r>
    </w:p>
    <w:p w14:paraId="525F8921" w14:textId="77777777" w:rsidR="00265B8A" w:rsidRPr="00265B8A" w:rsidRDefault="00265B8A" w:rsidP="00265B8A">
      <w:pPr>
        <w:numPr>
          <w:ilvl w:val="0"/>
          <w:numId w:val="1"/>
        </w:numP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Never operate lifter until inspected and tested for each shift.</w:t>
      </w:r>
    </w:p>
    <w:p w14:paraId="361C91A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Report any unusual operation or safety concerns to a qualified person and discontinue use of the vacuum lifting device until safety has been assured.</w:t>
      </w:r>
    </w:p>
    <w:p w14:paraId="010C8545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use vacuum lifting device with an “Out of Order” tag until it is returned to proper operating condition.</w:t>
      </w:r>
    </w:p>
    <w:p w14:paraId="58615420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use lifter if capacity or safety markings are missing.</w:t>
      </w:r>
    </w:p>
    <w:p w14:paraId="28E521F9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Make sure that the supporting structure and load attaching devices (i.e. crane, chains, and hook) are rated to support the weight of the lifter and load.</w:t>
      </w:r>
    </w:p>
    <w:p w14:paraId="7955244C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Be sure to subtract the weight of the lifter from the crane or hoist capacity when calculating the actual net capacity of the system.</w:t>
      </w:r>
    </w:p>
    <w:p w14:paraId="525E6574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Use a safety latch on your crane hook to hold your lifter.</w:t>
      </w:r>
    </w:p>
    <w:p w14:paraId="0A66F813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Use lifter only on non-porous and slightly porous, smooth loads. The degree of porosity/roughness affects the lifter’s ability to make up for air leakage. All loads should be tested to determine the maximum achievable vacuum level.</w:t>
      </w:r>
      <w:r w:rsidRPr="00265B8A">
        <w:rPr>
          <w:rFonts w:ascii="Arial" w:eastAsia="Times New Roman" w:hAnsi="Arial" w:cs="Arial"/>
          <w:color w:val="7C8392"/>
          <w:sz w:val="20"/>
          <w:szCs w:val="20"/>
        </w:rPr>
        <w:br/>
        <w:t>Refer to the lifter specifications to determine at what vacuum level the lifter is rated.</w:t>
      </w:r>
    </w:p>
    <w:p w14:paraId="2B4797B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De-rate load capacity by 3.5% for each 1000 ft. of elevation above sea level.</w:t>
      </w:r>
    </w:p>
    <w:p w14:paraId="749424C3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Use lifter only on clean loads; brush off loose debris, dirt, scale, chips, etc.</w:t>
      </w:r>
    </w:p>
    <w:p w14:paraId="72535282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use lifter on badly rusted, pitted, or scaled loads.</w:t>
      </w:r>
    </w:p>
    <w:p w14:paraId="0191473B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Never lift loads heavier than rated lifting capacity.</w:t>
      </w:r>
    </w:p>
    <w:p w14:paraId="3D665B9B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use lifter on loads beyond recommended length and width for your application. Consult ASE website </w:t>
      </w:r>
      <w:hyperlink r:id="rId5" w:history="1">
        <w:r w:rsidRPr="00265B8A">
          <w:rPr>
            <w:rFonts w:ascii="Arial" w:eastAsia="Times New Roman" w:hAnsi="Arial" w:cs="Arial"/>
            <w:color w:val="7C8392"/>
            <w:sz w:val="20"/>
            <w:szCs w:val="20"/>
            <w:u w:val="single"/>
          </w:rPr>
          <w:t>steel plate weight calculator</w:t>
        </w:r>
      </w:hyperlink>
      <w:r w:rsidRPr="00265B8A">
        <w:rPr>
          <w:rFonts w:ascii="Arial" w:eastAsia="Times New Roman" w:hAnsi="Arial" w:cs="Arial"/>
          <w:color w:val="7C8392"/>
          <w:sz w:val="20"/>
          <w:szCs w:val="20"/>
        </w:rPr>
        <w:t> for recommended load overhang tables.</w:t>
      </w:r>
    </w:p>
    <w:p w14:paraId="1AD5137E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lift more than one work piece at a time. If sheets stick together, place the load down immediately and separate sheets prior to lifting.</w:t>
      </w:r>
    </w:p>
    <w:p w14:paraId="7B5980F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Use lifter only as a lifting and handling tool.</w:t>
      </w:r>
    </w:p>
    <w:p w14:paraId="33B58CC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Use lifter only for horizontal lifting and free overhead transport.</w:t>
      </w:r>
    </w:p>
    <w:p w14:paraId="56E66A4F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use lifter to drag loads over floors.</w:t>
      </w:r>
    </w:p>
    <w:p w14:paraId="6089457E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Use the handle bars to position the lifter and guide the load.</w:t>
      </w:r>
    </w:p>
    <w:p w14:paraId="0D3BE91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push or pull the load with your hands on the load.</w:t>
      </w:r>
    </w:p>
    <w:p w14:paraId="4E69C390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When adjusting Crossarms and pads, keep vacuum lines free of twists and kinks. Do not pinch the vacuum lines.</w:t>
      </w:r>
    </w:p>
    <w:p w14:paraId="4A804B98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lift loads higher than necessary.</w:t>
      </w:r>
    </w:p>
    <w:p w14:paraId="36E0EFB8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Perform a preliminary lift of a few inches to establish that a vacuum lifting device has been correctly applied and that a stable lifting vacuum level exists.</w:t>
      </w:r>
    </w:p>
    <w:p w14:paraId="6E59361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Accelerate and decelerate loads smoothly.</w:t>
      </w:r>
    </w:p>
    <w:p w14:paraId="6F7CFECC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Avoid contact of loads with obstructions.</w:t>
      </w:r>
    </w:p>
    <w:p w14:paraId="2947CE6C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tilt any load more than 15 degrees from horizontal unless unit has been designed for tilting.</w:t>
      </w:r>
    </w:p>
    <w:p w14:paraId="42C6D7E1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lastRenderedPageBreak/>
        <w:t>Never tilt wet or oily loads.</w:t>
      </w:r>
    </w:p>
    <w:p w14:paraId="6154B9FD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Always allow extra work space around load when using a tilting lifter. Tilted loads can slide or tumble if they become detached.</w:t>
      </w:r>
    </w:p>
    <w:p w14:paraId="0A70044B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Be sure to let those near you know that a lift is about to begin.</w:t>
      </w:r>
    </w:p>
    <w:p w14:paraId="06615B82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Always stay clear of the load. Do not place feet or hands under the load.</w:t>
      </w:r>
    </w:p>
    <w:p w14:paraId="60004EC9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Keep face and body away from lifter or load in case of accidental release.</w:t>
      </w:r>
    </w:p>
    <w:p w14:paraId="06DB5694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Make sure that every person operating the lifter has read and understands the operating instructions which are printed in this manual and on the side of each lifter.</w:t>
      </w:r>
    </w:p>
    <w:p w14:paraId="27953246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The operator must respond to signals from appointed persons.</w:t>
      </w:r>
    </w:p>
    <w:p w14:paraId="21B67E59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ride or allow others to ride suspended load or enter restricted spaces adjacent to the lifting operation.</w:t>
      </w:r>
    </w:p>
    <w:p w14:paraId="7119EAC7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keep loads suspended for unnecessarily long periods, such as during coffee or lunch breaks or other work stoppage.</w:t>
      </w:r>
    </w:p>
    <w:p w14:paraId="0A50DB51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keep loads suspended unattended.</w:t>
      </w:r>
    </w:p>
    <w:p w14:paraId="5AFA7230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lift loads over people.</w:t>
      </w:r>
    </w:p>
    <w:p w14:paraId="54FB8B61" w14:textId="77777777" w:rsidR="00265B8A" w:rsidRPr="00265B8A" w:rsidRDefault="00265B8A" w:rsidP="00265B8A">
      <w:pPr>
        <w:numPr>
          <w:ilvl w:val="0"/>
          <w:numId w:val="1"/>
        </w:numPr>
        <w:pBdr>
          <w:top w:val="single" w:sz="6" w:space="4" w:color="E2E3E6"/>
        </w:pBdr>
        <w:shd w:val="clear" w:color="auto" w:fill="FBFBFB"/>
        <w:spacing w:after="120" w:line="240" w:lineRule="auto"/>
        <w:ind w:left="0"/>
        <w:textAlignment w:val="top"/>
        <w:rPr>
          <w:rFonts w:ascii="Arial" w:eastAsia="Times New Roman" w:hAnsi="Arial" w:cs="Arial"/>
          <w:color w:val="7C8392"/>
          <w:sz w:val="20"/>
          <w:szCs w:val="20"/>
        </w:rPr>
      </w:pPr>
      <w:r w:rsidRPr="00265B8A">
        <w:rPr>
          <w:rFonts w:ascii="Arial" w:eastAsia="Times New Roman" w:hAnsi="Arial" w:cs="Arial"/>
          <w:color w:val="7C8392"/>
          <w:sz w:val="20"/>
          <w:szCs w:val="20"/>
        </w:rPr>
        <w:t>Do not stand under suspended loads.</w:t>
      </w:r>
    </w:p>
    <w:p w14:paraId="511EF050" w14:textId="77777777" w:rsidR="00C100E0" w:rsidRDefault="00C100E0">
      <w:bookmarkStart w:id="0" w:name="_GoBack"/>
      <w:bookmarkEnd w:id="0"/>
    </w:p>
    <w:sectPr w:rsidR="00C1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B453C"/>
    <w:multiLevelType w:val="multilevel"/>
    <w:tmpl w:val="87F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A"/>
    <w:rsid w:val="00265B8A"/>
    <w:rsid w:val="00C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DB06"/>
  <w15:chartTrackingRefBased/>
  <w15:docId w15:val="{1F43787A-E17F-44BF-9A06-2E014A0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esystems.com/vacuum-lifters/steel-plate-weight-calcul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Blatter</dc:creator>
  <cp:keywords/>
  <dc:description/>
  <cp:lastModifiedBy>Jordan Blatter</cp:lastModifiedBy>
  <cp:revision>1</cp:revision>
  <dcterms:created xsi:type="dcterms:W3CDTF">2019-04-04T04:08:00Z</dcterms:created>
  <dcterms:modified xsi:type="dcterms:W3CDTF">2019-04-04T04:09:00Z</dcterms:modified>
</cp:coreProperties>
</file>